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C4FC" w14:textId="77777777" w:rsidR="007D15F4" w:rsidRDefault="007D15F4" w:rsidP="001738F7">
      <w:pPr>
        <w:jc w:val="center"/>
      </w:pPr>
    </w:p>
    <w:p w14:paraId="12DCB30C" w14:textId="77777777" w:rsidR="001738F7" w:rsidRDefault="001738F7" w:rsidP="001738F7">
      <w:pPr>
        <w:jc w:val="center"/>
      </w:pPr>
    </w:p>
    <w:p w14:paraId="37CD8004" w14:textId="77777777" w:rsidR="001738F7" w:rsidRDefault="001738F7" w:rsidP="001738F7">
      <w:pPr>
        <w:jc w:val="center"/>
      </w:pPr>
    </w:p>
    <w:p w14:paraId="61B4FD2E" w14:textId="77777777" w:rsidR="001738F7" w:rsidRDefault="001738F7" w:rsidP="001738F7">
      <w:pPr>
        <w:jc w:val="center"/>
      </w:pPr>
    </w:p>
    <w:p w14:paraId="7761C4D8" w14:textId="77777777" w:rsidR="001738F7" w:rsidRDefault="001738F7" w:rsidP="001738F7"/>
    <w:p w14:paraId="7CC98B53" w14:textId="77777777" w:rsidR="002624E7" w:rsidRPr="002624E7" w:rsidRDefault="00CC0E15" w:rsidP="002624E7">
      <w:pPr>
        <w:jc w:val="center"/>
      </w:pPr>
      <w:r>
        <w:t xml:space="preserve"> Mal</w:t>
      </w:r>
      <w:r w:rsidR="003215B3">
        <w:t xml:space="preserve"> </w:t>
      </w:r>
      <w:r>
        <w:t>practice</w:t>
      </w:r>
      <w:r w:rsidR="003215B3">
        <w:t>- A Nurse Practitioner</w:t>
      </w:r>
    </w:p>
    <w:p w14:paraId="5AF2EEE7" w14:textId="77777777" w:rsidR="001738F7" w:rsidRDefault="001738F7" w:rsidP="001738F7">
      <w:pPr>
        <w:jc w:val="center"/>
      </w:pPr>
      <w:r>
        <w:t>Student’s Name</w:t>
      </w:r>
    </w:p>
    <w:p w14:paraId="34C40895" w14:textId="77777777" w:rsidR="001738F7" w:rsidRDefault="001738F7" w:rsidP="001738F7">
      <w:pPr>
        <w:jc w:val="center"/>
      </w:pPr>
      <w:r>
        <w:t>Institutional Affiliation</w:t>
      </w:r>
    </w:p>
    <w:p w14:paraId="5F8A0ED9" w14:textId="77777777" w:rsidR="001738F7" w:rsidRDefault="001738F7" w:rsidP="001738F7">
      <w:pPr>
        <w:jc w:val="center"/>
      </w:pPr>
      <w:r>
        <w:t>Course Name</w:t>
      </w:r>
    </w:p>
    <w:p w14:paraId="4E68890D" w14:textId="77777777" w:rsidR="001738F7" w:rsidRDefault="001738F7" w:rsidP="001738F7">
      <w:pPr>
        <w:jc w:val="center"/>
      </w:pPr>
      <w:r>
        <w:t>Professor’s Name</w:t>
      </w:r>
    </w:p>
    <w:p w14:paraId="1B5E98FB" w14:textId="77777777" w:rsidR="001738F7" w:rsidRDefault="001738F7" w:rsidP="001738F7">
      <w:pPr>
        <w:jc w:val="center"/>
      </w:pPr>
      <w:r>
        <w:t>Date</w:t>
      </w:r>
    </w:p>
    <w:p w14:paraId="171FA62F" w14:textId="77777777" w:rsidR="001738F7" w:rsidRDefault="001738F7">
      <w:r>
        <w:br w:type="page"/>
      </w:r>
    </w:p>
    <w:p w14:paraId="34371A1D" w14:textId="77777777" w:rsidR="003215B3" w:rsidRPr="002624E7" w:rsidRDefault="003215B3" w:rsidP="00960CD4">
      <w:pPr>
        <w:jc w:val="center"/>
      </w:pPr>
      <w:r>
        <w:lastRenderedPageBreak/>
        <w:t>Mal practice- A Nurse Practitioner</w:t>
      </w:r>
    </w:p>
    <w:p w14:paraId="40F1977D" w14:textId="77777777" w:rsidR="003D3CDE" w:rsidRDefault="000E0954" w:rsidP="00313FD3">
      <w:pPr>
        <w:jc w:val="center"/>
        <w:rPr>
          <w:b/>
        </w:rPr>
      </w:pPr>
      <w:r w:rsidRPr="000E0954">
        <w:rPr>
          <w:b/>
        </w:rPr>
        <w:t>Introduction</w:t>
      </w:r>
    </w:p>
    <w:p w14:paraId="0F4D5ECB" w14:textId="77777777" w:rsidR="00313FD3" w:rsidRDefault="009A79C6" w:rsidP="00031236">
      <w:pPr>
        <w:ind w:firstLine="720"/>
        <w:rPr>
          <w:bCs/>
        </w:rPr>
      </w:pPr>
      <w:r>
        <w:rPr>
          <w:bCs/>
        </w:rPr>
        <w:t xml:space="preserve">A nurse practitioner is mandated to exercise </w:t>
      </w:r>
      <w:r w:rsidR="00961FE3">
        <w:rPr>
          <w:bCs/>
        </w:rPr>
        <w:t>utmost</w:t>
      </w:r>
      <w:r>
        <w:rPr>
          <w:bCs/>
        </w:rPr>
        <w:t xml:space="preserve"> caution when dealing with patients. The NP has to ensure that no harm is caused but rather </w:t>
      </w:r>
      <w:r w:rsidR="00E66ABC">
        <w:rPr>
          <w:bCs/>
        </w:rPr>
        <w:t xml:space="preserve">his/her actions bring relief to the patient. However, errors still occur </w:t>
      </w:r>
      <w:r w:rsidR="009E1113">
        <w:rPr>
          <w:bCs/>
        </w:rPr>
        <w:t>in the course of a NPs service and one of the most common is misdiagnosis</w:t>
      </w:r>
      <w:r w:rsidR="00C276A9">
        <w:rPr>
          <w:bCs/>
        </w:rPr>
        <w:t xml:space="preserve"> (Wu et </w:t>
      </w:r>
      <w:r w:rsidR="00ED082B">
        <w:rPr>
          <w:bCs/>
        </w:rPr>
        <w:t>al</w:t>
      </w:r>
      <w:r w:rsidR="00C276A9">
        <w:rPr>
          <w:bCs/>
        </w:rPr>
        <w:t xml:space="preserve">., </w:t>
      </w:r>
      <w:r w:rsidR="00ED082B">
        <w:rPr>
          <w:bCs/>
        </w:rPr>
        <w:t>2017)</w:t>
      </w:r>
      <w:r w:rsidR="009E1113">
        <w:rPr>
          <w:bCs/>
        </w:rPr>
        <w:t>. The offence is grave and may result into</w:t>
      </w:r>
      <w:r w:rsidR="004A3F81">
        <w:rPr>
          <w:bCs/>
        </w:rPr>
        <w:t xml:space="preserve"> a malpractice charge against the NP. In this case, the NP was sued for incorrectly</w:t>
      </w:r>
      <w:r w:rsidR="00583E23">
        <w:rPr>
          <w:bCs/>
        </w:rPr>
        <w:t xml:space="preserve"> giving a viral gastroenteritis</w:t>
      </w:r>
      <w:r w:rsidR="004A3F81">
        <w:rPr>
          <w:bCs/>
        </w:rPr>
        <w:t xml:space="preserve"> </w:t>
      </w:r>
      <w:r w:rsidR="0092067C">
        <w:rPr>
          <w:bCs/>
        </w:rPr>
        <w:t>diagnosis</w:t>
      </w:r>
      <w:r w:rsidR="004A3F81">
        <w:rPr>
          <w:bCs/>
        </w:rPr>
        <w:t xml:space="preserve"> </w:t>
      </w:r>
      <w:r w:rsidR="00A21F99">
        <w:rPr>
          <w:bCs/>
        </w:rPr>
        <w:t xml:space="preserve">that the complainant argues made the patient get to </w:t>
      </w:r>
      <w:r w:rsidR="00961FE3">
        <w:rPr>
          <w:bCs/>
        </w:rPr>
        <w:t>a life-threatening</w:t>
      </w:r>
      <w:r w:rsidR="0092067C">
        <w:rPr>
          <w:bCs/>
        </w:rPr>
        <w:t xml:space="preserve"> raptured appendix</w:t>
      </w:r>
      <w:r w:rsidR="00961FE3">
        <w:rPr>
          <w:bCs/>
        </w:rPr>
        <w:t xml:space="preserve"> case.</w:t>
      </w:r>
      <w:r w:rsidR="008975C3">
        <w:rPr>
          <w:bCs/>
        </w:rPr>
        <w:t xml:space="preserve"> </w:t>
      </w:r>
      <w:r w:rsidR="008A589F">
        <w:rPr>
          <w:bCs/>
        </w:rPr>
        <w:t>To</w:t>
      </w:r>
      <w:r w:rsidR="008975C3">
        <w:rPr>
          <w:bCs/>
        </w:rPr>
        <w:t xml:space="preserve"> prove malpractice, the claimant has to prove that </w:t>
      </w:r>
      <w:r w:rsidR="00C2286E">
        <w:rPr>
          <w:bCs/>
        </w:rPr>
        <w:t xml:space="preserve">the malpractice actually happened using the conditions </w:t>
      </w:r>
      <w:r w:rsidR="007F3E91">
        <w:rPr>
          <w:bCs/>
        </w:rPr>
        <w:t>used to establish malpractice. The conditions are</w:t>
      </w:r>
      <w:r w:rsidR="008834C6">
        <w:rPr>
          <w:bCs/>
        </w:rPr>
        <w:t xml:space="preserve"> </w:t>
      </w:r>
      <w:r w:rsidR="00DA5111" w:rsidRPr="00DA5111">
        <w:rPr>
          <w:bCs/>
        </w:rPr>
        <w:t>(Wu et al., 2017</w:t>
      </w:r>
      <w:r w:rsidR="00DA5111">
        <w:rPr>
          <w:bCs/>
        </w:rPr>
        <w:t>)</w:t>
      </w:r>
      <w:r w:rsidR="008834C6">
        <w:rPr>
          <w:bCs/>
        </w:rPr>
        <w:t>:</w:t>
      </w:r>
    </w:p>
    <w:p w14:paraId="263A570F" w14:textId="77777777" w:rsidR="007F3E91" w:rsidRPr="00415C55" w:rsidRDefault="00415C55" w:rsidP="00F34855">
      <w:pPr>
        <w:pStyle w:val="ListParagraph"/>
        <w:rPr>
          <w:b/>
        </w:rPr>
      </w:pPr>
      <w:r w:rsidRPr="00415C55">
        <w:rPr>
          <w:b/>
        </w:rPr>
        <w:t>Breach</w:t>
      </w:r>
      <w:r w:rsidR="00413451" w:rsidRPr="00415C55">
        <w:rPr>
          <w:b/>
        </w:rPr>
        <w:t xml:space="preserve"> of duty</w:t>
      </w:r>
    </w:p>
    <w:p w14:paraId="272A8E9A" w14:textId="77777777" w:rsidR="00D646F0" w:rsidRPr="00D646F0" w:rsidRDefault="00EA3761" w:rsidP="00031236">
      <w:pPr>
        <w:ind w:firstLine="720"/>
        <w:rPr>
          <w:bCs/>
        </w:rPr>
      </w:pPr>
      <w:r>
        <w:rPr>
          <w:bCs/>
        </w:rPr>
        <w:t xml:space="preserve">Before determining the existence of a breach of duty, the claimant has to prove that the NP had a duty </w:t>
      </w:r>
      <w:r w:rsidR="007648EC">
        <w:rPr>
          <w:bCs/>
        </w:rPr>
        <w:t>to</w:t>
      </w:r>
      <w:r>
        <w:rPr>
          <w:bCs/>
        </w:rPr>
        <w:t xml:space="preserve"> the patient. </w:t>
      </w:r>
      <w:r w:rsidR="00755D52">
        <w:rPr>
          <w:bCs/>
        </w:rPr>
        <w:t xml:space="preserve">In this case, a NP-patient relationship was created the moment the NP </w:t>
      </w:r>
      <w:r w:rsidR="004B38DD">
        <w:rPr>
          <w:bCs/>
        </w:rPr>
        <w:t xml:space="preserve">agreed to examine and provide a diagnosis to the patient. </w:t>
      </w:r>
      <w:r w:rsidR="005A698C">
        <w:rPr>
          <w:bCs/>
        </w:rPr>
        <w:t xml:space="preserve">Due to the relationship created, </w:t>
      </w:r>
      <w:r w:rsidR="00F6157D">
        <w:rPr>
          <w:bCs/>
        </w:rPr>
        <w:t>the nurse had a duty to exercise utmost skill, care</w:t>
      </w:r>
      <w:r w:rsidR="00075FE7">
        <w:rPr>
          <w:bCs/>
        </w:rPr>
        <w:t>,</w:t>
      </w:r>
      <w:r w:rsidR="00F6157D">
        <w:rPr>
          <w:bCs/>
        </w:rPr>
        <w:t xml:space="preserve"> </w:t>
      </w:r>
      <w:r w:rsidR="00075FE7">
        <w:rPr>
          <w:bCs/>
        </w:rPr>
        <w:t>and due diligence to ensure the patient gets the correct</w:t>
      </w:r>
      <w:r w:rsidR="00B23BC2">
        <w:rPr>
          <w:bCs/>
        </w:rPr>
        <w:t xml:space="preserve"> help to relieve him of his pain</w:t>
      </w:r>
      <w:r w:rsidR="00F124BE">
        <w:rPr>
          <w:bCs/>
        </w:rPr>
        <w:t xml:space="preserve"> (Dolan, 2017</w:t>
      </w:r>
      <w:r w:rsidR="00A83675">
        <w:rPr>
          <w:bCs/>
        </w:rPr>
        <w:t>)</w:t>
      </w:r>
      <w:r w:rsidR="00B23BC2">
        <w:rPr>
          <w:bCs/>
        </w:rPr>
        <w:t xml:space="preserve">. Breach occurs when </w:t>
      </w:r>
      <w:r w:rsidR="00F24E8C">
        <w:rPr>
          <w:bCs/>
        </w:rPr>
        <w:t>the NP does something that is not expected of him</w:t>
      </w:r>
      <w:r w:rsidR="006E0475">
        <w:rPr>
          <w:bCs/>
        </w:rPr>
        <w:t>,</w:t>
      </w:r>
      <w:r w:rsidR="00F24E8C">
        <w:rPr>
          <w:bCs/>
        </w:rPr>
        <w:t xml:space="preserve"> and that would not be done by any other NP </w:t>
      </w:r>
      <w:r w:rsidR="007B3F99">
        <w:rPr>
          <w:bCs/>
        </w:rPr>
        <w:t>in the same</w:t>
      </w:r>
      <w:r w:rsidR="00F24E8C">
        <w:rPr>
          <w:bCs/>
        </w:rPr>
        <w:t xml:space="preserve"> position.</w:t>
      </w:r>
      <w:r w:rsidR="00D205DC">
        <w:rPr>
          <w:bCs/>
        </w:rPr>
        <w:t xml:space="preserve"> </w:t>
      </w:r>
      <w:r w:rsidR="00EA4560">
        <w:rPr>
          <w:bCs/>
        </w:rPr>
        <w:t xml:space="preserve">The NP </w:t>
      </w:r>
      <w:r w:rsidR="002F6D29">
        <w:rPr>
          <w:bCs/>
        </w:rPr>
        <w:t xml:space="preserve">examined the patient and </w:t>
      </w:r>
      <w:r w:rsidR="0035699A">
        <w:rPr>
          <w:bCs/>
        </w:rPr>
        <w:t xml:space="preserve">gave a diagnosis as expected of him. The NPs exercise of skill is however in question as the provided diagnosis was wrong. </w:t>
      </w:r>
      <w:r w:rsidR="00200B03">
        <w:rPr>
          <w:bCs/>
        </w:rPr>
        <w:t xml:space="preserve">Due diligence was also not </w:t>
      </w:r>
      <w:r w:rsidR="00200B03">
        <w:rPr>
          <w:bCs/>
        </w:rPr>
        <w:lastRenderedPageBreak/>
        <w:t xml:space="preserve">considered by the NP as he </w:t>
      </w:r>
      <w:r w:rsidR="002F5858">
        <w:rPr>
          <w:bCs/>
        </w:rPr>
        <w:t>did not consider any legal actions that could result from a misdiagnosis.</w:t>
      </w:r>
    </w:p>
    <w:p w14:paraId="26AD6D9C" w14:textId="77777777" w:rsidR="00413451" w:rsidRPr="00415C55" w:rsidRDefault="00415C55" w:rsidP="00F34855">
      <w:pPr>
        <w:pStyle w:val="ListParagraph"/>
        <w:rPr>
          <w:b/>
        </w:rPr>
      </w:pPr>
      <w:r>
        <w:rPr>
          <w:b/>
        </w:rPr>
        <w:t>Injury</w:t>
      </w:r>
      <w:r w:rsidR="0058089C" w:rsidRPr="00415C55">
        <w:rPr>
          <w:b/>
        </w:rPr>
        <w:t>/</w:t>
      </w:r>
      <w:r w:rsidR="004E1C5A" w:rsidRPr="00415C55">
        <w:rPr>
          <w:b/>
        </w:rPr>
        <w:t>damages</w:t>
      </w:r>
      <w:r w:rsidR="00413451" w:rsidRPr="00415C55">
        <w:rPr>
          <w:b/>
        </w:rPr>
        <w:t xml:space="preserve"> </w:t>
      </w:r>
      <w:r w:rsidR="00D646F0" w:rsidRPr="00415C55">
        <w:rPr>
          <w:b/>
        </w:rPr>
        <w:t>due to duty breach</w:t>
      </w:r>
    </w:p>
    <w:p w14:paraId="6652ADF8" w14:textId="7AE8BC47" w:rsidR="00E63017" w:rsidRPr="004831A8" w:rsidRDefault="00650809" w:rsidP="00031236">
      <w:pPr>
        <w:ind w:firstLine="720"/>
        <w:rPr>
          <w:bCs/>
        </w:rPr>
      </w:pPr>
      <w:r>
        <w:rPr>
          <w:bCs/>
        </w:rPr>
        <w:t>T</w:t>
      </w:r>
      <w:r w:rsidR="004831A8">
        <w:rPr>
          <w:bCs/>
        </w:rPr>
        <w:t xml:space="preserve">he claimant has to prove that an injury occurred as a result of </w:t>
      </w:r>
      <w:r w:rsidR="00846EA5">
        <w:rPr>
          <w:bCs/>
        </w:rPr>
        <w:t>duty breach by the NP.</w:t>
      </w:r>
      <w:r w:rsidR="004133DD">
        <w:rPr>
          <w:bCs/>
        </w:rPr>
        <w:t xml:space="preserve"> Did the misdiagnosis</w:t>
      </w:r>
      <w:r w:rsidR="0058089C">
        <w:rPr>
          <w:bCs/>
        </w:rPr>
        <w:t xml:space="preserve"> made by the NP lead to </w:t>
      </w:r>
      <w:r w:rsidR="004E1C5A">
        <w:rPr>
          <w:bCs/>
        </w:rPr>
        <w:t>any injuries or damages that could have been prevented by a correct diagnosis?</w:t>
      </w:r>
      <w:r w:rsidR="00B56A0B">
        <w:rPr>
          <w:bCs/>
        </w:rPr>
        <w:t xml:space="preserve"> </w:t>
      </w:r>
      <w:r w:rsidR="005915AF">
        <w:rPr>
          <w:bCs/>
        </w:rPr>
        <w:t>Viral gastroenteritis matched two of the symptoms presented by the patient- nausea and vomiting.</w:t>
      </w:r>
      <w:r w:rsidR="000C2EE2">
        <w:rPr>
          <w:bCs/>
        </w:rPr>
        <w:t xml:space="preserve"> Though often diagnosed using symptoms, the two symptoms were not adequate to warrant such a diagnosis </w:t>
      </w:r>
      <w:r w:rsidR="00B453D0">
        <w:rPr>
          <w:bCs/>
        </w:rPr>
        <w:t xml:space="preserve">as </w:t>
      </w:r>
      <w:r w:rsidR="007E4300">
        <w:rPr>
          <w:bCs/>
        </w:rPr>
        <w:t>many other diseases may present similar symptoms.</w:t>
      </w:r>
      <w:r w:rsidR="004F7FD3">
        <w:rPr>
          <w:bCs/>
        </w:rPr>
        <w:t xml:space="preserve"> The symptoms presented by the patient </w:t>
      </w:r>
      <w:r w:rsidR="00EC06F5">
        <w:rPr>
          <w:bCs/>
        </w:rPr>
        <w:t>together with the hematuria</w:t>
      </w:r>
      <w:r w:rsidR="006C34FC">
        <w:rPr>
          <w:bCs/>
        </w:rPr>
        <w:t xml:space="preserve"> observed from the urine test indicated </w:t>
      </w:r>
      <w:r w:rsidR="00F778EC">
        <w:rPr>
          <w:bCs/>
        </w:rPr>
        <w:t>appendicitis</w:t>
      </w:r>
      <w:r w:rsidR="00015EEE">
        <w:rPr>
          <w:bCs/>
        </w:rPr>
        <w:t xml:space="preserve"> (Michelson et al., 2021)</w:t>
      </w:r>
      <w:r w:rsidR="00643C6E">
        <w:rPr>
          <w:bCs/>
        </w:rPr>
        <w:t xml:space="preserve">. Hematuria often presents as a sign of </w:t>
      </w:r>
      <w:r w:rsidR="00850A68">
        <w:rPr>
          <w:bCs/>
        </w:rPr>
        <w:t>an inflamed appendix and further tests are needed to issue a correct diagnosis.</w:t>
      </w:r>
      <w:r w:rsidR="00F97604">
        <w:rPr>
          <w:bCs/>
        </w:rPr>
        <w:t xml:space="preserve"> The NP ignored the hematuria, </w:t>
      </w:r>
      <w:r w:rsidR="009B5720">
        <w:rPr>
          <w:bCs/>
        </w:rPr>
        <w:t xml:space="preserve">abdominal pain, loss of appetite, nausea, and </w:t>
      </w:r>
      <w:r w:rsidR="00545410">
        <w:rPr>
          <w:bCs/>
        </w:rPr>
        <w:t>vomiting symptoms that pointed to appendicitis.</w:t>
      </w:r>
      <w:r w:rsidR="00156BF7">
        <w:rPr>
          <w:bCs/>
        </w:rPr>
        <w:t xml:space="preserve"> Due to this neglect, </w:t>
      </w:r>
      <w:r w:rsidR="00B5465A">
        <w:rPr>
          <w:bCs/>
        </w:rPr>
        <w:t>the inflamed appendix raptured and an emergency appendectomy</w:t>
      </w:r>
      <w:r w:rsidR="00411AEB">
        <w:rPr>
          <w:bCs/>
        </w:rPr>
        <w:t xml:space="preserve"> had to be done to remove the raptured appendix. </w:t>
      </w:r>
      <w:r w:rsidR="00380235">
        <w:rPr>
          <w:bCs/>
        </w:rPr>
        <w:t xml:space="preserve">Though the </w:t>
      </w:r>
      <w:r w:rsidR="00F34855">
        <w:rPr>
          <w:bCs/>
        </w:rPr>
        <w:t>appendectomy was</w:t>
      </w:r>
      <w:r w:rsidR="00380235">
        <w:rPr>
          <w:bCs/>
        </w:rPr>
        <w:t xml:space="preserve"> inevitable even with an early diagnosis,</w:t>
      </w:r>
      <w:r w:rsidR="00411AEB">
        <w:rPr>
          <w:bCs/>
        </w:rPr>
        <w:t xml:space="preserve"> </w:t>
      </w:r>
      <w:r w:rsidR="00B51EBC">
        <w:rPr>
          <w:bCs/>
        </w:rPr>
        <w:t>a correct diagnosis</w:t>
      </w:r>
      <w:r w:rsidR="00776267">
        <w:rPr>
          <w:bCs/>
        </w:rPr>
        <w:t xml:space="preserve"> would have led to scheduled surgery, eliminating the need for an emergency surgery.</w:t>
      </w:r>
      <w:r w:rsidR="00B23E51">
        <w:rPr>
          <w:bCs/>
        </w:rPr>
        <w:t xml:space="preserve"> </w:t>
      </w:r>
      <w:r w:rsidR="0050379B">
        <w:rPr>
          <w:bCs/>
        </w:rPr>
        <w:t xml:space="preserve">The </w:t>
      </w:r>
      <w:r w:rsidR="00E63017">
        <w:rPr>
          <w:bCs/>
        </w:rPr>
        <w:t>claimants</w:t>
      </w:r>
      <w:r w:rsidR="0050379B">
        <w:rPr>
          <w:bCs/>
        </w:rPr>
        <w:t xml:space="preserve"> therefore suffered consequential damages </w:t>
      </w:r>
      <w:r w:rsidR="0081153A">
        <w:rPr>
          <w:bCs/>
        </w:rPr>
        <w:t xml:space="preserve">as an emergency surgery had to be conducted on </w:t>
      </w:r>
      <w:r w:rsidR="00E63017">
        <w:rPr>
          <w:bCs/>
        </w:rPr>
        <w:t xml:space="preserve">their son. Actual damages were also incurred as the </w:t>
      </w:r>
      <w:r w:rsidR="00E721EE">
        <w:rPr>
          <w:bCs/>
        </w:rPr>
        <w:t xml:space="preserve">appendix </w:t>
      </w:r>
      <w:r w:rsidR="00F34855">
        <w:rPr>
          <w:bCs/>
        </w:rPr>
        <w:t>raptured;</w:t>
      </w:r>
      <w:r w:rsidR="00B514D8">
        <w:rPr>
          <w:bCs/>
        </w:rPr>
        <w:t xml:space="preserve"> a situation that </w:t>
      </w:r>
      <w:r w:rsidR="00E764F6">
        <w:rPr>
          <w:bCs/>
        </w:rPr>
        <w:t>correct</w:t>
      </w:r>
      <w:r w:rsidR="00B514D8">
        <w:rPr>
          <w:bCs/>
        </w:rPr>
        <w:t xml:space="preserve"> diagnosis would have prevented.</w:t>
      </w:r>
    </w:p>
    <w:p w14:paraId="0CE8FB0F" w14:textId="77777777" w:rsidR="000B16CC" w:rsidRPr="00F34855" w:rsidRDefault="00ED6757" w:rsidP="00F34855">
      <w:pPr>
        <w:ind w:left="360"/>
        <w:rPr>
          <w:b/>
        </w:rPr>
      </w:pPr>
      <w:r w:rsidRPr="00F34855">
        <w:rPr>
          <w:b/>
        </w:rPr>
        <w:t>Causation</w:t>
      </w:r>
    </w:p>
    <w:p w14:paraId="60F41A81" w14:textId="77777777" w:rsidR="00F772B9" w:rsidRDefault="00E573CF" w:rsidP="00031236">
      <w:pPr>
        <w:ind w:firstLine="720"/>
        <w:rPr>
          <w:bCs/>
        </w:rPr>
      </w:pPr>
      <w:r>
        <w:rPr>
          <w:bCs/>
        </w:rPr>
        <w:t xml:space="preserve">Causation can only be proven if there is a </w:t>
      </w:r>
      <w:r w:rsidR="00C75ECD">
        <w:rPr>
          <w:bCs/>
        </w:rPr>
        <w:t xml:space="preserve">link between the misdiagnosis issued by the NP and the damages incurred or injury </w:t>
      </w:r>
      <w:r w:rsidR="00893719">
        <w:rPr>
          <w:bCs/>
        </w:rPr>
        <w:t>caused</w:t>
      </w:r>
      <w:r w:rsidR="0070620F">
        <w:rPr>
          <w:bCs/>
        </w:rPr>
        <w:t xml:space="preserve">. Causes may be </w:t>
      </w:r>
      <w:r w:rsidR="00893719">
        <w:rPr>
          <w:bCs/>
        </w:rPr>
        <w:t>direct or proximate</w:t>
      </w:r>
      <w:r w:rsidR="00B74445">
        <w:rPr>
          <w:bCs/>
        </w:rPr>
        <w:t xml:space="preserve"> (Dolan, </w:t>
      </w:r>
      <w:r w:rsidR="00F7535F">
        <w:rPr>
          <w:bCs/>
        </w:rPr>
        <w:t>2017)</w:t>
      </w:r>
      <w:r w:rsidR="00893719">
        <w:rPr>
          <w:bCs/>
        </w:rPr>
        <w:t xml:space="preserve">. </w:t>
      </w:r>
      <w:r w:rsidR="000954C2">
        <w:rPr>
          <w:bCs/>
        </w:rPr>
        <w:t xml:space="preserve">In </w:t>
      </w:r>
      <w:r w:rsidR="000954C2">
        <w:rPr>
          <w:bCs/>
        </w:rPr>
        <w:lastRenderedPageBreak/>
        <w:t xml:space="preserve">this case, the misdiagnosis resulted in the rupture of the patient’s appendix. </w:t>
      </w:r>
      <w:r w:rsidR="00F7535F">
        <w:rPr>
          <w:bCs/>
        </w:rPr>
        <w:t>The</w:t>
      </w:r>
      <w:r w:rsidR="00EB7F79">
        <w:rPr>
          <w:bCs/>
        </w:rPr>
        <w:t xml:space="preserve"> emergency surgery was also a consequence</w:t>
      </w:r>
      <w:r w:rsidR="00B71C46">
        <w:rPr>
          <w:bCs/>
        </w:rPr>
        <w:t xml:space="preserve"> of the misdiagnosis. The patient would have been treated procedurally and the surgery done </w:t>
      </w:r>
      <w:r w:rsidR="000E1ED9">
        <w:rPr>
          <w:bCs/>
        </w:rPr>
        <w:t>with the anticipation of the patient’s</w:t>
      </w:r>
      <w:r w:rsidR="00F12729">
        <w:rPr>
          <w:bCs/>
        </w:rPr>
        <w:t xml:space="preserve"> pa</w:t>
      </w:r>
      <w:r w:rsidR="00556485">
        <w:rPr>
          <w:bCs/>
        </w:rPr>
        <w:t>re</w:t>
      </w:r>
      <w:r w:rsidR="00F12729">
        <w:rPr>
          <w:bCs/>
        </w:rPr>
        <w:t xml:space="preserve">nts. The actual and consequential damages incurred by the claimants were therefore a direct consequence of the </w:t>
      </w:r>
      <w:r w:rsidR="005D06CF">
        <w:rPr>
          <w:bCs/>
        </w:rPr>
        <w:t>negligence by the NP.</w:t>
      </w:r>
    </w:p>
    <w:p w14:paraId="0FA9BF93" w14:textId="0B40E9DF" w:rsidR="00E84916" w:rsidRDefault="00E84916" w:rsidP="00031236">
      <w:pPr>
        <w:ind w:firstLine="720"/>
        <w:rPr>
          <w:bCs/>
        </w:rPr>
      </w:pPr>
      <w:r>
        <w:rPr>
          <w:bCs/>
        </w:rPr>
        <w:t xml:space="preserve">The misdiagnosis done by the NP matches the conditions of </w:t>
      </w:r>
      <w:r w:rsidR="005263B4">
        <w:rPr>
          <w:bCs/>
        </w:rPr>
        <w:t>breach of duty, damages due to duty breach</w:t>
      </w:r>
      <w:r w:rsidR="005E6E14">
        <w:rPr>
          <w:bCs/>
        </w:rPr>
        <w:t>,</w:t>
      </w:r>
      <w:r w:rsidR="005263B4">
        <w:rPr>
          <w:bCs/>
        </w:rPr>
        <w:t xml:space="preserve"> and </w:t>
      </w:r>
      <w:r w:rsidR="005E6E14">
        <w:rPr>
          <w:bCs/>
        </w:rPr>
        <w:t xml:space="preserve">causation necessary for a strong malpractice case against </w:t>
      </w:r>
      <w:r w:rsidR="0007691D">
        <w:rPr>
          <w:bCs/>
        </w:rPr>
        <w:t xml:space="preserve">him. </w:t>
      </w:r>
      <w:r w:rsidR="00793E10">
        <w:rPr>
          <w:bCs/>
        </w:rPr>
        <w:t xml:space="preserve">If the outpatient </w:t>
      </w:r>
      <w:r w:rsidR="00C01D62">
        <w:rPr>
          <w:bCs/>
        </w:rPr>
        <w:t xml:space="preserve">clinic denies </w:t>
      </w:r>
      <w:r w:rsidR="00F34855">
        <w:rPr>
          <w:bCs/>
        </w:rPr>
        <w:t>the “</w:t>
      </w:r>
      <w:r w:rsidR="00C01D62">
        <w:rPr>
          <w:bCs/>
        </w:rPr>
        <w:t>inadequate supervision of the NP</w:t>
      </w:r>
      <w:r w:rsidR="00390D28">
        <w:rPr>
          <w:bCs/>
        </w:rPr>
        <w:t>” charge</w:t>
      </w:r>
      <w:r w:rsidR="00C01D62">
        <w:rPr>
          <w:bCs/>
        </w:rPr>
        <w:t xml:space="preserve">, the NP would have to seek a private </w:t>
      </w:r>
      <w:r w:rsidR="001B6408">
        <w:rPr>
          <w:bCs/>
        </w:rPr>
        <w:t>attorney</w:t>
      </w:r>
      <w:r w:rsidR="00C01D62">
        <w:rPr>
          <w:bCs/>
        </w:rPr>
        <w:t xml:space="preserve"> or request a public </w:t>
      </w:r>
      <w:r w:rsidR="001B6408">
        <w:rPr>
          <w:bCs/>
        </w:rPr>
        <w:t xml:space="preserve">attorney. The clinic's denial would also mean that the NP </w:t>
      </w:r>
      <w:r w:rsidR="00054045">
        <w:rPr>
          <w:bCs/>
        </w:rPr>
        <w:t xml:space="preserve">would be held as completely liable for his actions and all the </w:t>
      </w:r>
      <w:r w:rsidR="00451CB7">
        <w:rPr>
          <w:bCs/>
        </w:rPr>
        <w:t xml:space="preserve">consequences would be faced by the NP solely. </w:t>
      </w:r>
      <w:r w:rsidR="001E428D">
        <w:rPr>
          <w:bCs/>
        </w:rPr>
        <w:t>Additionally</w:t>
      </w:r>
      <w:r w:rsidR="00B56C11">
        <w:rPr>
          <w:bCs/>
        </w:rPr>
        <w:t xml:space="preserve">, the NP may lose his medical malpractice insurance as the </w:t>
      </w:r>
      <w:r w:rsidR="001E428D">
        <w:rPr>
          <w:bCs/>
        </w:rPr>
        <w:t>clinic’s insurance</w:t>
      </w:r>
      <w:r w:rsidR="00B56C11">
        <w:rPr>
          <w:bCs/>
        </w:rPr>
        <w:t xml:space="preserve"> company</w:t>
      </w:r>
      <w:r w:rsidR="00176B7F">
        <w:rPr>
          <w:bCs/>
        </w:rPr>
        <w:t xml:space="preserve"> would not be willing to help </w:t>
      </w:r>
      <w:r w:rsidR="001E428D">
        <w:rPr>
          <w:bCs/>
        </w:rPr>
        <w:t>the NP after being denounced by the clinic</w:t>
      </w:r>
      <w:r w:rsidR="00C46935">
        <w:rPr>
          <w:bCs/>
        </w:rPr>
        <w:t xml:space="preserve"> (</w:t>
      </w:r>
      <w:r w:rsidR="00901BF9">
        <w:rPr>
          <w:bCs/>
        </w:rPr>
        <w:t>Griffith, 2020)</w:t>
      </w:r>
      <w:r w:rsidR="001E428D">
        <w:rPr>
          <w:bCs/>
        </w:rPr>
        <w:t>.</w:t>
      </w:r>
      <w:r w:rsidR="00B56C11">
        <w:rPr>
          <w:bCs/>
        </w:rPr>
        <w:t xml:space="preserve"> If</w:t>
      </w:r>
      <w:r w:rsidR="0007691D">
        <w:rPr>
          <w:bCs/>
        </w:rPr>
        <w:t xml:space="preserve"> the court finds </w:t>
      </w:r>
      <w:r w:rsidR="00FF7442">
        <w:rPr>
          <w:bCs/>
        </w:rPr>
        <w:t>the NP</w:t>
      </w:r>
      <w:r w:rsidR="0007691D">
        <w:rPr>
          <w:bCs/>
        </w:rPr>
        <w:t xml:space="preserve"> guilty of Malpractice, </w:t>
      </w:r>
      <w:r w:rsidR="00C5638E">
        <w:rPr>
          <w:bCs/>
        </w:rPr>
        <w:t xml:space="preserve">it may lead to consequences such as suspension or revocation of his NP </w:t>
      </w:r>
      <w:r w:rsidR="00B02514">
        <w:rPr>
          <w:bCs/>
        </w:rPr>
        <w:t>license</w:t>
      </w:r>
      <w:r w:rsidR="00C5638E">
        <w:rPr>
          <w:bCs/>
        </w:rPr>
        <w:t xml:space="preserve">. </w:t>
      </w:r>
      <w:r w:rsidR="00B02514">
        <w:rPr>
          <w:bCs/>
        </w:rPr>
        <w:t xml:space="preserve">In this case, the </w:t>
      </w:r>
      <w:r w:rsidR="007D2FC4">
        <w:rPr>
          <w:bCs/>
        </w:rPr>
        <w:t>nurse</w:t>
      </w:r>
      <w:r w:rsidR="00B02514">
        <w:rPr>
          <w:bCs/>
        </w:rPr>
        <w:t xml:space="preserve"> practitioner may not be allowed to </w:t>
      </w:r>
      <w:r w:rsidR="007D2FC4">
        <w:rPr>
          <w:bCs/>
        </w:rPr>
        <w:t xml:space="preserve">practice his profession </w:t>
      </w:r>
      <w:r w:rsidR="005E030D">
        <w:rPr>
          <w:bCs/>
        </w:rPr>
        <w:t xml:space="preserve">due to lack of license. License suspension may prevent the NP from practicing </w:t>
      </w:r>
      <w:r w:rsidR="000B4C9B">
        <w:rPr>
          <w:bCs/>
        </w:rPr>
        <w:t>his profession for a given period.</w:t>
      </w:r>
      <w:r w:rsidR="0096617A">
        <w:rPr>
          <w:bCs/>
        </w:rPr>
        <w:t xml:space="preserve"> The NP license may also be limited </w:t>
      </w:r>
      <w:r w:rsidR="00710866">
        <w:rPr>
          <w:bCs/>
        </w:rPr>
        <w:t>by</w:t>
      </w:r>
      <w:r w:rsidR="0096617A">
        <w:rPr>
          <w:bCs/>
        </w:rPr>
        <w:t xml:space="preserve"> </w:t>
      </w:r>
      <w:r w:rsidR="00710866">
        <w:rPr>
          <w:bCs/>
        </w:rPr>
        <w:t>excluding</w:t>
      </w:r>
      <w:r w:rsidR="0096617A">
        <w:rPr>
          <w:bCs/>
        </w:rPr>
        <w:t xml:space="preserve"> diagnosis and treatment</w:t>
      </w:r>
      <w:r w:rsidR="00710866">
        <w:rPr>
          <w:bCs/>
        </w:rPr>
        <w:t xml:space="preserve"> functions.</w:t>
      </w:r>
    </w:p>
    <w:p w14:paraId="7E2735C7" w14:textId="77777777" w:rsidR="00617A37" w:rsidRDefault="001C159C" w:rsidP="00031236">
      <w:pPr>
        <w:ind w:firstLine="720"/>
        <w:rPr>
          <w:bCs/>
        </w:rPr>
      </w:pPr>
      <w:r>
        <w:rPr>
          <w:bCs/>
        </w:rPr>
        <w:t xml:space="preserve">There are tips that could help the NP </w:t>
      </w:r>
      <w:r w:rsidR="000847A1">
        <w:rPr>
          <w:bCs/>
        </w:rPr>
        <w:t xml:space="preserve">to reduce or avoid the possibility of legal issues. First, the NP </w:t>
      </w:r>
      <w:r w:rsidR="001F3AD6">
        <w:rPr>
          <w:bCs/>
        </w:rPr>
        <w:t>has</w:t>
      </w:r>
      <w:r w:rsidR="000847A1">
        <w:rPr>
          <w:bCs/>
        </w:rPr>
        <w:t xml:space="preserve"> to find a competitive attorney, with proven record in handling malpractice cases</w:t>
      </w:r>
      <w:r w:rsidR="000A2E2D">
        <w:rPr>
          <w:bCs/>
        </w:rPr>
        <w:t xml:space="preserve"> </w:t>
      </w:r>
      <w:r w:rsidR="000A2E2D" w:rsidRPr="000A2E2D">
        <w:rPr>
          <w:bCs/>
        </w:rPr>
        <w:t>(Gómez-Durán et al., 2018).</w:t>
      </w:r>
      <w:r w:rsidR="000A2E2D">
        <w:rPr>
          <w:bCs/>
        </w:rPr>
        <w:t xml:space="preserve"> </w:t>
      </w:r>
      <w:r w:rsidR="00524A4C">
        <w:rPr>
          <w:bCs/>
        </w:rPr>
        <w:t xml:space="preserve">Second, the NP could look for ways to prove that there was no causation as the </w:t>
      </w:r>
      <w:r w:rsidR="00620B06">
        <w:rPr>
          <w:bCs/>
        </w:rPr>
        <w:t>appendectomy would have occurred even with a correct diagnosis. The NP can also reject expert testimony, claiming</w:t>
      </w:r>
      <w:r w:rsidR="004E34E3">
        <w:rPr>
          <w:bCs/>
        </w:rPr>
        <w:t xml:space="preserve"> </w:t>
      </w:r>
      <w:r w:rsidR="00EE71FE">
        <w:rPr>
          <w:bCs/>
        </w:rPr>
        <w:t xml:space="preserve">that the expert qualification does not match the </w:t>
      </w:r>
      <w:r w:rsidR="001E41AE">
        <w:rPr>
          <w:bCs/>
        </w:rPr>
        <w:t xml:space="preserve">case </w:t>
      </w:r>
      <w:r w:rsidR="001E41AE">
        <w:rPr>
          <w:bCs/>
        </w:rPr>
        <w:lastRenderedPageBreak/>
        <w:t xml:space="preserve">description. If the </w:t>
      </w:r>
      <w:r w:rsidR="00972BC3">
        <w:rPr>
          <w:bCs/>
        </w:rPr>
        <w:t>expert testimony is withdrawn</w:t>
      </w:r>
      <w:r w:rsidR="005555BA">
        <w:rPr>
          <w:bCs/>
        </w:rPr>
        <w:t>, it would be difficult for the plaintiff to prove malpractice</w:t>
      </w:r>
      <w:r w:rsidR="00DA6BD8">
        <w:rPr>
          <w:bCs/>
        </w:rPr>
        <w:t xml:space="preserve"> (Gómez-Durán et al</w:t>
      </w:r>
      <w:r w:rsidR="005555BA">
        <w:rPr>
          <w:bCs/>
        </w:rPr>
        <w:t>.</w:t>
      </w:r>
      <w:r w:rsidR="00006716">
        <w:rPr>
          <w:bCs/>
        </w:rPr>
        <w:t>, 2018).</w:t>
      </w:r>
      <w:r w:rsidR="003D1DCE">
        <w:rPr>
          <w:bCs/>
        </w:rPr>
        <w:t xml:space="preserve"> </w:t>
      </w:r>
      <w:r w:rsidR="009116DB">
        <w:rPr>
          <w:bCs/>
        </w:rPr>
        <w:t xml:space="preserve">Lastly, the NP can claim that he acted in good faith and reasonably under the circumstances by </w:t>
      </w:r>
      <w:r w:rsidR="00620A48">
        <w:rPr>
          <w:bCs/>
        </w:rPr>
        <w:t xml:space="preserve">examining and providing a diagnosis </w:t>
      </w:r>
      <w:r w:rsidR="002A4A63">
        <w:rPr>
          <w:bCs/>
        </w:rPr>
        <w:t>for the patient to help relieve the presented symptoms.</w:t>
      </w:r>
    </w:p>
    <w:p w14:paraId="41470928" w14:textId="77777777" w:rsidR="00CE048B" w:rsidRDefault="00672F99" w:rsidP="00284A73">
      <w:pPr>
        <w:jc w:val="center"/>
        <w:rPr>
          <w:b/>
        </w:rPr>
      </w:pPr>
      <w:r>
        <w:rPr>
          <w:b/>
        </w:rPr>
        <w:t>Conclusion</w:t>
      </w:r>
    </w:p>
    <w:p w14:paraId="5D3712BB" w14:textId="77777777" w:rsidR="00672F99" w:rsidRPr="00672F99" w:rsidRDefault="00B33153" w:rsidP="00031236">
      <w:pPr>
        <w:ind w:firstLine="720"/>
        <w:rPr>
          <w:bCs/>
        </w:rPr>
      </w:pPr>
      <w:r>
        <w:rPr>
          <w:bCs/>
        </w:rPr>
        <w:t xml:space="preserve">A correct diagnosis </w:t>
      </w:r>
      <w:r w:rsidR="00C8429C">
        <w:rPr>
          <w:bCs/>
        </w:rPr>
        <w:t>c</w:t>
      </w:r>
      <w:r>
        <w:rPr>
          <w:bCs/>
        </w:rPr>
        <w:t xml:space="preserve">ould have </w:t>
      </w:r>
      <w:r w:rsidR="00C8429C">
        <w:rPr>
          <w:bCs/>
        </w:rPr>
        <w:t xml:space="preserve">prevented </w:t>
      </w:r>
      <w:r w:rsidR="00936C80">
        <w:rPr>
          <w:bCs/>
        </w:rPr>
        <w:t xml:space="preserve">prolonged discomfort </w:t>
      </w:r>
      <w:r w:rsidR="00750BC2">
        <w:rPr>
          <w:bCs/>
        </w:rPr>
        <w:t>and emergency</w:t>
      </w:r>
      <w:r w:rsidR="00962BE1">
        <w:rPr>
          <w:bCs/>
        </w:rPr>
        <w:t xml:space="preserve"> surgery as argued by the plaintiff. The surgery would have been done sooner, </w:t>
      </w:r>
      <w:r w:rsidR="00945F7D">
        <w:rPr>
          <w:bCs/>
        </w:rPr>
        <w:t xml:space="preserve">preventing </w:t>
      </w:r>
      <w:r w:rsidR="00B93811">
        <w:rPr>
          <w:bCs/>
        </w:rPr>
        <w:t>the raptured appendix and relieving the patient of the intense abdominal pain.</w:t>
      </w:r>
      <w:r w:rsidR="00F836A2">
        <w:rPr>
          <w:bCs/>
        </w:rPr>
        <w:t xml:space="preserve"> </w:t>
      </w:r>
      <w:r w:rsidR="00FE3141">
        <w:rPr>
          <w:bCs/>
        </w:rPr>
        <w:t xml:space="preserve">If the clinic denies liability by </w:t>
      </w:r>
      <w:r w:rsidR="0050282A">
        <w:rPr>
          <w:bCs/>
        </w:rPr>
        <w:t xml:space="preserve">arguing not guilty to </w:t>
      </w:r>
      <w:r w:rsidR="001D1F9D">
        <w:rPr>
          <w:bCs/>
        </w:rPr>
        <w:t xml:space="preserve">inadequate supervision of the NP, the nurse would </w:t>
      </w:r>
      <w:r w:rsidR="00CC0171">
        <w:rPr>
          <w:bCs/>
        </w:rPr>
        <w:t xml:space="preserve">lose </w:t>
      </w:r>
      <w:r w:rsidR="00F54620">
        <w:rPr>
          <w:bCs/>
        </w:rPr>
        <w:t xml:space="preserve">his medical malpractice insurance. </w:t>
      </w:r>
      <w:r w:rsidR="00975175">
        <w:rPr>
          <w:bCs/>
        </w:rPr>
        <w:t xml:space="preserve">The NP would therefore have to handle the case privately. The loss of the case could lead to the </w:t>
      </w:r>
      <w:r w:rsidR="000B6F0B">
        <w:rPr>
          <w:bCs/>
        </w:rPr>
        <w:t xml:space="preserve">suspension, limitation or revocation of the NP's license. </w:t>
      </w:r>
      <w:r w:rsidR="005D2514">
        <w:rPr>
          <w:bCs/>
        </w:rPr>
        <w:t xml:space="preserve">However, the NP may reject expert </w:t>
      </w:r>
      <w:r w:rsidR="00E044C0">
        <w:rPr>
          <w:bCs/>
        </w:rPr>
        <w:t>testimony, or</w:t>
      </w:r>
      <w:r w:rsidR="00E10277">
        <w:rPr>
          <w:bCs/>
        </w:rPr>
        <w:t xml:space="preserve"> prove lack of causation to</w:t>
      </w:r>
      <w:r w:rsidR="00D06834">
        <w:rPr>
          <w:bCs/>
        </w:rPr>
        <w:t xml:space="preserve"> get better chances of reduced legal issues.</w:t>
      </w:r>
    </w:p>
    <w:p w14:paraId="24D6698D" w14:textId="77777777" w:rsidR="002624E7" w:rsidRPr="002624E7" w:rsidRDefault="002624E7" w:rsidP="002624E7"/>
    <w:p w14:paraId="509C02FD" w14:textId="77777777" w:rsidR="007B6ABB" w:rsidRDefault="007B6ABB">
      <w:r>
        <w:br w:type="page"/>
      </w:r>
    </w:p>
    <w:p w14:paraId="0C2B89AB" w14:textId="77777777" w:rsidR="00976500" w:rsidRDefault="007B6ABB" w:rsidP="007B6ABB">
      <w:pPr>
        <w:jc w:val="center"/>
      </w:pPr>
      <w:r>
        <w:lastRenderedPageBreak/>
        <w:t>References</w:t>
      </w:r>
    </w:p>
    <w:p w14:paraId="7D4D0BDB" w14:textId="77777777" w:rsidR="00A83675" w:rsidRDefault="00A83675" w:rsidP="00CC29ED">
      <w:pPr>
        <w:ind w:firstLine="720"/>
      </w:pPr>
      <w:r w:rsidRPr="00A83675">
        <w:t xml:space="preserve">Dolan, C. (2017). Moral, ethical, and legal decision-making in controversial NP practice situations. </w:t>
      </w:r>
      <w:r w:rsidRPr="008948A8">
        <w:rPr>
          <w:i/>
          <w:iCs/>
        </w:rPr>
        <w:t>The Journal for Nurse Practitioners, 13(2), e57-e65</w:t>
      </w:r>
      <w:r w:rsidRPr="00A83675">
        <w:t>.</w:t>
      </w:r>
    </w:p>
    <w:p w14:paraId="0FCCCD3E" w14:textId="77777777" w:rsidR="0000079D" w:rsidRDefault="0000079D" w:rsidP="00CC29ED">
      <w:pPr>
        <w:ind w:firstLine="720"/>
      </w:pPr>
      <w:r w:rsidRPr="0000079D">
        <w:t xml:space="preserve">Gómez-Durán, E. L., </w:t>
      </w:r>
      <w:proofErr w:type="spellStart"/>
      <w:r w:rsidRPr="0000079D">
        <w:t>Vizcaíno-Rakosnik</w:t>
      </w:r>
      <w:proofErr w:type="spellEnd"/>
      <w:r w:rsidRPr="0000079D">
        <w:t>, M., Martin-</w:t>
      </w:r>
      <w:proofErr w:type="spellStart"/>
      <w:r w:rsidRPr="0000079D">
        <w:t>Fumadó</w:t>
      </w:r>
      <w:proofErr w:type="spellEnd"/>
      <w:r w:rsidRPr="0000079D">
        <w:t xml:space="preserve">, C., </w:t>
      </w:r>
      <w:proofErr w:type="spellStart"/>
      <w:r w:rsidRPr="0000079D">
        <w:t>Klamburg</w:t>
      </w:r>
      <w:proofErr w:type="spellEnd"/>
      <w:r w:rsidRPr="0000079D">
        <w:t xml:space="preserve">, J., </w:t>
      </w:r>
      <w:proofErr w:type="spellStart"/>
      <w:r w:rsidRPr="0000079D">
        <w:t>Padrós</w:t>
      </w:r>
      <w:proofErr w:type="spellEnd"/>
      <w:r w:rsidRPr="0000079D">
        <w:t xml:space="preserve">-Selma, J., &amp; </w:t>
      </w:r>
      <w:proofErr w:type="spellStart"/>
      <w:r w:rsidRPr="0000079D">
        <w:t>Arimany-Manso</w:t>
      </w:r>
      <w:proofErr w:type="spellEnd"/>
      <w:r w:rsidRPr="0000079D">
        <w:t>, J. (2018). Physicians as second victims after a malpractice claim: an important issue in need of attention. Journal of healthcare quality research, 33(5), 284-289</w:t>
      </w:r>
      <w:r w:rsidR="00901BF9">
        <w:t>.</w:t>
      </w:r>
    </w:p>
    <w:p w14:paraId="3EEA8097" w14:textId="77777777" w:rsidR="00901BF9" w:rsidRDefault="00901BF9" w:rsidP="00CC29ED">
      <w:pPr>
        <w:ind w:firstLine="720"/>
      </w:pPr>
      <w:r w:rsidRPr="00901BF9">
        <w:t xml:space="preserve">Griffith, R. (2020). The elements of negligence liability in nursing. </w:t>
      </w:r>
      <w:r w:rsidRPr="00AF377D">
        <w:rPr>
          <w:i/>
          <w:iCs/>
        </w:rPr>
        <w:t>British Journal of Nursing,</w:t>
      </w:r>
      <w:r w:rsidRPr="00901BF9">
        <w:t xml:space="preserve"> 29(3), 176-177.</w:t>
      </w:r>
    </w:p>
    <w:p w14:paraId="4553FC1E" w14:textId="77777777" w:rsidR="004B03E4" w:rsidRDefault="004B03E4" w:rsidP="00CC29ED">
      <w:pPr>
        <w:ind w:firstLine="720"/>
      </w:pPr>
      <w:r w:rsidRPr="004B03E4">
        <w:t xml:space="preserve">Michelson, K. A., Reeves, S. D., </w:t>
      </w:r>
      <w:proofErr w:type="spellStart"/>
      <w:r w:rsidRPr="004B03E4">
        <w:t>Grubenhoff</w:t>
      </w:r>
      <w:proofErr w:type="spellEnd"/>
      <w:r w:rsidRPr="004B03E4">
        <w:t xml:space="preserve">, J. A., Cruz, A. T., Chaudhari, P. P., Dart, A. H., ... &amp; Bachur, R. G. (2021). Clinical Features and Preventability of Delayed Diagnosis of Pediatric Appendicitis. </w:t>
      </w:r>
      <w:r w:rsidRPr="009C76BB">
        <w:rPr>
          <w:i/>
          <w:iCs/>
        </w:rPr>
        <w:t xml:space="preserve">JAMA network open, </w:t>
      </w:r>
      <w:r w:rsidRPr="004B03E4">
        <w:t>4(8), e2122248-e2122248.</w:t>
      </w:r>
    </w:p>
    <w:p w14:paraId="41FBEDE1" w14:textId="77777777" w:rsidR="007B6ABB" w:rsidRDefault="00ED082B" w:rsidP="00CC29ED">
      <w:pPr>
        <w:ind w:firstLine="720"/>
      </w:pPr>
      <w:r w:rsidRPr="00ED082B">
        <w:t xml:space="preserve">Wu, K. H., Yen, Y. L., Wu, C. H., Hwang, C. Y., &amp; Cheng, S. Y. (2017). Learning from an analysis of closed malpractice litigation involving myocardial infarction. </w:t>
      </w:r>
      <w:r w:rsidRPr="00F218D4">
        <w:rPr>
          <w:i/>
          <w:iCs/>
        </w:rPr>
        <w:t>Journal of forensic and legal medicine</w:t>
      </w:r>
      <w:r w:rsidRPr="00ED082B">
        <w:t>, 48, 41-45.</w:t>
      </w:r>
    </w:p>
    <w:sectPr w:rsidR="007B6ABB" w:rsidSect="001738F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0793" w14:textId="77777777" w:rsidR="00B56547" w:rsidRDefault="00B56547" w:rsidP="001738F7">
      <w:pPr>
        <w:spacing w:after="0" w:line="240" w:lineRule="auto"/>
      </w:pPr>
      <w:r>
        <w:separator/>
      </w:r>
    </w:p>
  </w:endnote>
  <w:endnote w:type="continuationSeparator" w:id="0">
    <w:p w14:paraId="11405B4D" w14:textId="77777777" w:rsidR="00B56547" w:rsidRDefault="00B56547" w:rsidP="0017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CDE8" w14:textId="77777777" w:rsidR="00B56547" w:rsidRDefault="00B56547" w:rsidP="001738F7">
      <w:pPr>
        <w:spacing w:after="0" w:line="240" w:lineRule="auto"/>
      </w:pPr>
      <w:r>
        <w:separator/>
      </w:r>
    </w:p>
  </w:footnote>
  <w:footnote w:type="continuationSeparator" w:id="0">
    <w:p w14:paraId="5E66661B" w14:textId="77777777" w:rsidR="00B56547" w:rsidRDefault="00B56547" w:rsidP="0017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5573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A06F43" w14:textId="77777777" w:rsidR="001738F7" w:rsidRDefault="00122C7A" w:rsidP="00C60DAF">
        <w:r w:rsidRPr="00122C7A">
          <w:t>MAL PRACTICE- A NURSE PRACTITIONER</w:t>
        </w:r>
        <w:r w:rsidR="001738F7">
          <w:tab/>
        </w:r>
        <w:r w:rsidR="001738F7">
          <w:tab/>
        </w:r>
        <w:r w:rsidR="00C60DAF">
          <w:t xml:space="preserve">                                                   </w:t>
        </w:r>
        <w:r w:rsidR="001738F7">
          <w:fldChar w:fldCharType="begin"/>
        </w:r>
        <w:r w:rsidR="001738F7">
          <w:instrText xml:space="preserve"> PAGE   \* MERGEFORMAT </w:instrText>
        </w:r>
        <w:r w:rsidR="001738F7">
          <w:fldChar w:fldCharType="separate"/>
        </w:r>
        <w:r w:rsidR="002624E7">
          <w:rPr>
            <w:noProof/>
          </w:rPr>
          <w:t>2</w:t>
        </w:r>
        <w:r w:rsidR="001738F7">
          <w:rPr>
            <w:noProof/>
          </w:rPr>
          <w:fldChar w:fldCharType="end"/>
        </w:r>
      </w:p>
    </w:sdtContent>
  </w:sdt>
  <w:p w14:paraId="6BD95AC4" w14:textId="77777777" w:rsidR="001738F7" w:rsidRDefault="00173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0FE0" w14:textId="77777777" w:rsidR="001738F7" w:rsidRDefault="001738F7" w:rsidP="00B925B4">
    <w:r>
      <w:t xml:space="preserve">Running head: </w:t>
    </w:r>
    <w:r w:rsidR="0097006D">
      <w:t>MAL</w:t>
    </w:r>
    <w:r w:rsidR="00E65658">
      <w:t xml:space="preserve"> PRACTICE-</w:t>
    </w:r>
    <w:r w:rsidR="0097006D">
      <w:t xml:space="preserve"> A </w:t>
    </w:r>
    <w:r w:rsidR="00E65658">
      <w:t>NURSE</w:t>
    </w:r>
    <w:r w:rsidR="0097006D">
      <w:t xml:space="preserve"> </w:t>
    </w:r>
    <w:r w:rsidR="00E65658">
      <w:t>PRACTITIONER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6FC8"/>
    <w:multiLevelType w:val="hybridMultilevel"/>
    <w:tmpl w:val="ADE0E8FC"/>
    <w:lvl w:ilvl="0" w:tplc="74EE2F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61897"/>
    <w:multiLevelType w:val="hybridMultilevel"/>
    <w:tmpl w:val="76505AE8"/>
    <w:lvl w:ilvl="0" w:tplc="81342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A41D79"/>
    <w:multiLevelType w:val="multilevel"/>
    <w:tmpl w:val="E7AA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E43BD"/>
    <w:multiLevelType w:val="hybridMultilevel"/>
    <w:tmpl w:val="EDC2C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D085F"/>
    <w:multiLevelType w:val="multilevel"/>
    <w:tmpl w:val="8BF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73C3B"/>
    <w:multiLevelType w:val="hybridMultilevel"/>
    <w:tmpl w:val="E02A3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73E17"/>
    <w:multiLevelType w:val="hybridMultilevel"/>
    <w:tmpl w:val="A4887EE0"/>
    <w:lvl w:ilvl="0" w:tplc="4760A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F097C"/>
    <w:multiLevelType w:val="multilevel"/>
    <w:tmpl w:val="1E1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30EE8"/>
    <w:multiLevelType w:val="hybridMultilevel"/>
    <w:tmpl w:val="F20A208C"/>
    <w:lvl w:ilvl="0" w:tplc="81342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A15B7"/>
    <w:multiLevelType w:val="hybridMultilevel"/>
    <w:tmpl w:val="F86E25FC"/>
    <w:lvl w:ilvl="0" w:tplc="860CE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46BC8"/>
    <w:multiLevelType w:val="multilevel"/>
    <w:tmpl w:val="3E6A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D3526"/>
    <w:multiLevelType w:val="multilevel"/>
    <w:tmpl w:val="7F6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877CD"/>
    <w:multiLevelType w:val="hybridMultilevel"/>
    <w:tmpl w:val="AC64E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11389"/>
    <w:multiLevelType w:val="hybridMultilevel"/>
    <w:tmpl w:val="83804F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E4"/>
    <w:rsid w:val="0000079D"/>
    <w:rsid w:val="00001D69"/>
    <w:rsid w:val="00005E76"/>
    <w:rsid w:val="00006716"/>
    <w:rsid w:val="000146E7"/>
    <w:rsid w:val="00015EEE"/>
    <w:rsid w:val="00031236"/>
    <w:rsid w:val="00054045"/>
    <w:rsid w:val="00054D97"/>
    <w:rsid w:val="00075FE7"/>
    <w:rsid w:val="0007691D"/>
    <w:rsid w:val="000847A1"/>
    <w:rsid w:val="000954C2"/>
    <w:rsid w:val="000A2E2D"/>
    <w:rsid w:val="000B16CC"/>
    <w:rsid w:val="000B4C9B"/>
    <w:rsid w:val="000B6F0B"/>
    <w:rsid w:val="000C2EE2"/>
    <w:rsid w:val="000E0954"/>
    <w:rsid w:val="000E1ED9"/>
    <w:rsid w:val="000F16F4"/>
    <w:rsid w:val="001049D7"/>
    <w:rsid w:val="00122C7A"/>
    <w:rsid w:val="00156BF7"/>
    <w:rsid w:val="001738F7"/>
    <w:rsid w:val="00176B7F"/>
    <w:rsid w:val="001B6408"/>
    <w:rsid w:val="001C159C"/>
    <w:rsid w:val="001D1F9D"/>
    <w:rsid w:val="001E41AE"/>
    <w:rsid w:val="001E428D"/>
    <w:rsid w:val="001F3AD6"/>
    <w:rsid w:val="00200B03"/>
    <w:rsid w:val="00204649"/>
    <w:rsid w:val="00246478"/>
    <w:rsid w:val="002624E7"/>
    <w:rsid w:val="00271D49"/>
    <w:rsid w:val="00272DCF"/>
    <w:rsid w:val="00274CAF"/>
    <w:rsid w:val="00284A73"/>
    <w:rsid w:val="00285E6C"/>
    <w:rsid w:val="002A1EB9"/>
    <w:rsid w:val="002A4A63"/>
    <w:rsid w:val="002D19A9"/>
    <w:rsid w:val="002E6584"/>
    <w:rsid w:val="002F41A8"/>
    <w:rsid w:val="002F5858"/>
    <w:rsid w:val="002F6D29"/>
    <w:rsid w:val="00305C38"/>
    <w:rsid w:val="00313FD3"/>
    <w:rsid w:val="003215B3"/>
    <w:rsid w:val="00332FA0"/>
    <w:rsid w:val="00344729"/>
    <w:rsid w:val="00354720"/>
    <w:rsid w:val="0035699A"/>
    <w:rsid w:val="00380235"/>
    <w:rsid w:val="00390D28"/>
    <w:rsid w:val="003C7CC8"/>
    <w:rsid w:val="003D1DCE"/>
    <w:rsid w:val="003D3CDE"/>
    <w:rsid w:val="003F4CC3"/>
    <w:rsid w:val="00411AEB"/>
    <w:rsid w:val="00412413"/>
    <w:rsid w:val="004133DD"/>
    <w:rsid w:val="00413451"/>
    <w:rsid w:val="00415C55"/>
    <w:rsid w:val="004253EE"/>
    <w:rsid w:val="00425D36"/>
    <w:rsid w:val="00435B45"/>
    <w:rsid w:val="00436FA4"/>
    <w:rsid w:val="004456E8"/>
    <w:rsid w:val="00450E2A"/>
    <w:rsid w:val="00451CB7"/>
    <w:rsid w:val="00472411"/>
    <w:rsid w:val="00480311"/>
    <w:rsid w:val="004831A8"/>
    <w:rsid w:val="00491753"/>
    <w:rsid w:val="004A3F81"/>
    <w:rsid w:val="004A4021"/>
    <w:rsid w:val="004B03E4"/>
    <w:rsid w:val="004B38DD"/>
    <w:rsid w:val="004E16B1"/>
    <w:rsid w:val="004E1C5A"/>
    <w:rsid w:val="004E34E3"/>
    <w:rsid w:val="004F7FD3"/>
    <w:rsid w:val="0050026A"/>
    <w:rsid w:val="0050282A"/>
    <w:rsid w:val="0050379B"/>
    <w:rsid w:val="00507A22"/>
    <w:rsid w:val="005219E5"/>
    <w:rsid w:val="00524A4C"/>
    <w:rsid w:val="005263B4"/>
    <w:rsid w:val="00545410"/>
    <w:rsid w:val="005555BA"/>
    <w:rsid w:val="00556485"/>
    <w:rsid w:val="00564BCC"/>
    <w:rsid w:val="005774E7"/>
    <w:rsid w:val="0058089C"/>
    <w:rsid w:val="00583E23"/>
    <w:rsid w:val="005915AF"/>
    <w:rsid w:val="005A698C"/>
    <w:rsid w:val="005D06CF"/>
    <w:rsid w:val="005D2514"/>
    <w:rsid w:val="005D2C9D"/>
    <w:rsid w:val="005E030D"/>
    <w:rsid w:val="005E6627"/>
    <w:rsid w:val="005E6E14"/>
    <w:rsid w:val="005F0971"/>
    <w:rsid w:val="005F7EA4"/>
    <w:rsid w:val="00617A37"/>
    <w:rsid w:val="00620A48"/>
    <w:rsid w:val="00620B06"/>
    <w:rsid w:val="00643C6E"/>
    <w:rsid w:val="00650809"/>
    <w:rsid w:val="00665B0B"/>
    <w:rsid w:val="00672F99"/>
    <w:rsid w:val="00677F17"/>
    <w:rsid w:val="006816FA"/>
    <w:rsid w:val="00681DF0"/>
    <w:rsid w:val="006A1A2B"/>
    <w:rsid w:val="006A5F22"/>
    <w:rsid w:val="006C09FA"/>
    <w:rsid w:val="006C34FC"/>
    <w:rsid w:val="006E0475"/>
    <w:rsid w:val="0070620F"/>
    <w:rsid w:val="00710866"/>
    <w:rsid w:val="00711F1A"/>
    <w:rsid w:val="007302B6"/>
    <w:rsid w:val="007350C3"/>
    <w:rsid w:val="00750BC2"/>
    <w:rsid w:val="00753FF3"/>
    <w:rsid w:val="00755D52"/>
    <w:rsid w:val="007648EC"/>
    <w:rsid w:val="00776267"/>
    <w:rsid w:val="00793E10"/>
    <w:rsid w:val="007B08CB"/>
    <w:rsid w:val="007B3F99"/>
    <w:rsid w:val="007B51C0"/>
    <w:rsid w:val="007B6ABB"/>
    <w:rsid w:val="007D15F4"/>
    <w:rsid w:val="007D2FC4"/>
    <w:rsid w:val="007E4300"/>
    <w:rsid w:val="007F3E91"/>
    <w:rsid w:val="007F6BDF"/>
    <w:rsid w:val="0081153A"/>
    <w:rsid w:val="00846EA5"/>
    <w:rsid w:val="00850A68"/>
    <w:rsid w:val="00854127"/>
    <w:rsid w:val="008834C6"/>
    <w:rsid w:val="00893719"/>
    <w:rsid w:val="008948A8"/>
    <w:rsid w:val="008975C3"/>
    <w:rsid w:val="008A589F"/>
    <w:rsid w:val="008B5AFF"/>
    <w:rsid w:val="008B6B27"/>
    <w:rsid w:val="008F604E"/>
    <w:rsid w:val="00901BF9"/>
    <w:rsid w:val="009116DB"/>
    <w:rsid w:val="0092067C"/>
    <w:rsid w:val="00936C80"/>
    <w:rsid w:val="00945F7D"/>
    <w:rsid w:val="00961FE3"/>
    <w:rsid w:val="00962BE1"/>
    <w:rsid w:val="0096617A"/>
    <w:rsid w:val="0097006D"/>
    <w:rsid w:val="00972BC3"/>
    <w:rsid w:val="00975175"/>
    <w:rsid w:val="00976500"/>
    <w:rsid w:val="009919DE"/>
    <w:rsid w:val="009A79C6"/>
    <w:rsid w:val="009B5720"/>
    <w:rsid w:val="009C2F9E"/>
    <w:rsid w:val="009C58C8"/>
    <w:rsid w:val="009C76BB"/>
    <w:rsid w:val="009E1113"/>
    <w:rsid w:val="00A01EAB"/>
    <w:rsid w:val="00A046D4"/>
    <w:rsid w:val="00A06C14"/>
    <w:rsid w:val="00A10A4E"/>
    <w:rsid w:val="00A21F99"/>
    <w:rsid w:val="00A37B6C"/>
    <w:rsid w:val="00A83675"/>
    <w:rsid w:val="00A929E0"/>
    <w:rsid w:val="00AA7954"/>
    <w:rsid w:val="00AD3BA6"/>
    <w:rsid w:val="00AD52F8"/>
    <w:rsid w:val="00AE4283"/>
    <w:rsid w:val="00AF377D"/>
    <w:rsid w:val="00B02514"/>
    <w:rsid w:val="00B23732"/>
    <w:rsid w:val="00B23BC2"/>
    <w:rsid w:val="00B23E51"/>
    <w:rsid w:val="00B33153"/>
    <w:rsid w:val="00B40D14"/>
    <w:rsid w:val="00B435AA"/>
    <w:rsid w:val="00B453D0"/>
    <w:rsid w:val="00B45A8C"/>
    <w:rsid w:val="00B514D8"/>
    <w:rsid w:val="00B515E2"/>
    <w:rsid w:val="00B51EBC"/>
    <w:rsid w:val="00B53281"/>
    <w:rsid w:val="00B5465A"/>
    <w:rsid w:val="00B56547"/>
    <w:rsid w:val="00B56A0B"/>
    <w:rsid w:val="00B56C11"/>
    <w:rsid w:val="00B650E1"/>
    <w:rsid w:val="00B65170"/>
    <w:rsid w:val="00B66891"/>
    <w:rsid w:val="00B71C46"/>
    <w:rsid w:val="00B74445"/>
    <w:rsid w:val="00B81C5F"/>
    <w:rsid w:val="00B925B4"/>
    <w:rsid w:val="00B93811"/>
    <w:rsid w:val="00B96E1A"/>
    <w:rsid w:val="00BF362A"/>
    <w:rsid w:val="00C01D62"/>
    <w:rsid w:val="00C2286E"/>
    <w:rsid w:val="00C276A9"/>
    <w:rsid w:val="00C460E4"/>
    <w:rsid w:val="00C46935"/>
    <w:rsid w:val="00C5638E"/>
    <w:rsid w:val="00C60DAF"/>
    <w:rsid w:val="00C75ECD"/>
    <w:rsid w:val="00C76105"/>
    <w:rsid w:val="00C8429C"/>
    <w:rsid w:val="00C90363"/>
    <w:rsid w:val="00C91628"/>
    <w:rsid w:val="00CB09AE"/>
    <w:rsid w:val="00CC0171"/>
    <w:rsid w:val="00CC0E15"/>
    <w:rsid w:val="00CC29ED"/>
    <w:rsid w:val="00CC6186"/>
    <w:rsid w:val="00CE048B"/>
    <w:rsid w:val="00D0283B"/>
    <w:rsid w:val="00D06834"/>
    <w:rsid w:val="00D205DC"/>
    <w:rsid w:val="00D232FC"/>
    <w:rsid w:val="00D449AF"/>
    <w:rsid w:val="00D646F0"/>
    <w:rsid w:val="00DA5111"/>
    <w:rsid w:val="00DA6BD8"/>
    <w:rsid w:val="00DC2220"/>
    <w:rsid w:val="00DC7ED4"/>
    <w:rsid w:val="00DF722C"/>
    <w:rsid w:val="00E044C0"/>
    <w:rsid w:val="00E05BDE"/>
    <w:rsid w:val="00E06DB6"/>
    <w:rsid w:val="00E10277"/>
    <w:rsid w:val="00E52436"/>
    <w:rsid w:val="00E573CF"/>
    <w:rsid w:val="00E63017"/>
    <w:rsid w:val="00E65658"/>
    <w:rsid w:val="00E66ABC"/>
    <w:rsid w:val="00E721EE"/>
    <w:rsid w:val="00E743CE"/>
    <w:rsid w:val="00E764F6"/>
    <w:rsid w:val="00E84916"/>
    <w:rsid w:val="00EA1EE3"/>
    <w:rsid w:val="00EA3761"/>
    <w:rsid w:val="00EA4560"/>
    <w:rsid w:val="00EB4318"/>
    <w:rsid w:val="00EB6EBF"/>
    <w:rsid w:val="00EB7F79"/>
    <w:rsid w:val="00EC06F5"/>
    <w:rsid w:val="00ED082B"/>
    <w:rsid w:val="00ED195E"/>
    <w:rsid w:val="00ED6757"/>
    <w:rsid w:val="00EE145C"/>
    <w:rsid w:val="00EE71FE"/>
    <w:rsid w:val="00F124BE"/>
    <w:rsid w:val="00F12729"/>
    <w:rsid w:val="00F218D4"/>
    <w:rsid w:val="00F24E8C"/>
    <w:rsid w:val="00F30D62"/>
    <w:rsid w:val="00F34855"/>
    <w:rsid w:val="00F47993"/>
    <w:rsid w:val="00F54620"/>
    <w:rsid w:val="00F6052E"/>
    <w:rsid w:val="00F6157D"/>
    <w:rsid w:val="00F7535F"/>
    <w:rsid w:val="00F772B9"/>
    <w:rsid w:val="00F778EC"/>
    <w:rsid w:val="00F836A2"/>
    <w:rsid w:val="00F845CD"/>
    <w:rsid w:val="00F97604"/>
    <w:rsid w:val="00FC5039"/>
    <w:rsid w:val="00FD4B0F"/>
    <w:rsid w:val="00FE314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2B249"/>
  <w15:docId w15:val="{0E14D0C5-5465-F04B-A0C7-DA120F87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8F7"/>
  </w:style>
  <w:style w:type="paragraph" w:styleId="Footer">
    <w:name w:val="footer"/>
    <w:basedOn w:val="Normal"/>
    <w:link w:val="FooterChar"/>
    <w:uiPriority w:val="99"/>
    <w:unhideWhenUsed/>
    <w:rsid w:val="0017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8F7"/>
  </w:style>
  <w:style w:type="paragraph" w:styleId="ListParagraph">
    <w:name w:val="List Paragraph"/>
    <w:basedOn w:val="Normal"/>
    <w:uiPriority w:val="34"/>
    <w:qFormat/>
    <w:rsid w:val="007B08CB"/>
    <w:pPr>
      <w:ind w:left="720"/>
      <w:contextualSpacing/>
    </w:pPr>
  </w:style>
  <w:style w:type="table" w:styleId="TableGrid">
    <w:name w:val="Table Grid"/>
    <w:basedOn w:val="TableNormal"/>
    <w:uiPriority w:val="59"/>
    <w:rsid w:val="0026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2021-10-06T20:00:00Z</dcterms:created>
  <dcterms:modified xsi:type="dcterms:W3CDTF">2021-10-06T20:00:00Z</dcterms:modified>
</cp:coreProperties>
</file>